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C4" w:rsidRPr="00850EC4" w:rsidRDefault="00850EC4" w:rsidP="00850EC4">
      <w:pPr>
        <w:widowControl w:val="0"/>
        <w:tabs>
          <w:tab w:val="left" w:pos="14579"/>
        </w:tabs>
        <w:autoSpaceDE w:val="0"/>
        <w:autoSpaceDN w:val="0"/>
        <w:spacing w:before="129" w:after="0" w:line="240" w:lineRule="auto"/>
        <w:ind w:left="191"/>
        <w:rPr>
          <w:rFonts w:ascii="Arial" w:eastAsia="Goudy Old Style" w:hAnsi="Goudy Old Style" w:cs="Goudy Old Style"/>
          <w:sz w:val="40"/>
        </w:rPr>
      </w:pPr>
      <w:r w:rsidRPr="00850EC4">
        <w:rPr>
          <w:rFonts w:ascii="Goudy Old Style" w:eastAsia="Goudy Old Style" w:hAnsi="Goudy Old Style" w:cs="Goudy Old Style"/>
          <w:noProof/>
        </w:rPr>
        <w:drawing>
          <wp:anchor distT="0" distB="0" distL="0" distR="0" simplePos="0" relativeHeight="251659264" behindDoc="0" locked="0" layoutInCell="1" allowOverlap="1" wp14:anchorId="40964059" wp14:editId="5F2F60F6">
            <wp:simplePos x="0" y="0"/>
            <wp:positionH relativeFrom="page">
              <wp:posOffset>418895</wp:posOffset>
            </wp:positionH>
            <wp:positionV relativeFrom="paragraph">
              <wp:posOffset>390268</wp:posOffset>
            </wp:positionV>
            <wp:extent cx="9182304" cy="97535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30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EC4">
        <w:rPr>
          <w:rFonts w:ascii="Arial" w:eastAsia="Goudy Old Style" w:hAnsi="Goudy Old Style" w:cs="Goudy Old Style"/>
          <w:w w:val="105"/>
          <w:sz w:val="40"/>
          <w:u w:val="single"/>
        </w:rPr>
        <w:t>Section</w:t>
      </w:r>
      <w:r w:rsidRPr="00850EC4">
        <w:rPr>
          <w:rFonts w:ascii="Arial" w:eastAsia="Goudy Old Style" w:hAnsi="Goudy Old Style" w:cs="Goudy Old Style"/>
          <w:spacing w:val="-26"/>
          <w:w w:val="105"/>
          <w:sz w:val="40"/>
          <w:u w:val="single"/>
        </w:rPr>
        <w:t xml:space="preserve"> </w:t>
      </w:r>
      <w:r w:rsidRPr="00850EC4">
        <w:rPr>
          <w:rFonts w:ascii="Arial" w:eastAsia="Goudy Old Style" w:hAnsi="Goudy Old Style" w:cs="Goudy Old Style"/>
          <w:w w:val="105"/>
          <w:sz w:val="40"/>
          <w:u w:val="single"/>
        </w:rPr>
        <w:t>8</w:t>
      </w:r>
      <w:r w:rsidRPr="00850EC4">
        <w:rPr>
          <w:rFonts w:ascii="Arial" w:eastAsia="Goudy Old Style" w:hAnsi="Goudy Old Style" w:cs="Goudy Old Style"/>
          <w:sz w:val="40"/>
          <w:u w:val="single"/>
        </w:rPr>
        <w:tab/>
      </w:r>
    </w:p>
    <w:p w:rsidR="00850EC4" w:rsidRDefault="00850EC4" w:rsidP="00850EC4">
      <w:pPr>
        <w:widowControl w:val="0"/>
        <w:autoSpaceDE w:val="0"/>
        <w:autoSpaceDN w:val="0"/>
        <w:spacing w:after="0" w:line="240" w:lineRule="auto"/>
        <w:ind w:left="191"/>
        <w:rPr>
          <w:rFonts w:ascii="Arial" w:eastAsia="Goudy Old Style" w:hAnsi="Goudy Old Style" w:cs="Goudy Old Style"/>
          <w:w w:val="110"/>
          <w:sz w:val="48"/>
        </w:rPr>
      </w:pPr>
      <w:r w:rsidRPr="00850EC4">
        <w:rPr>
          <w:rFonts w:ascii="Arial" w:eastAsia="Goudy Old Style" w:hAnsi="Goudy Old Style" w:cs="Goudy Old Style"/>
          <w:w w:val="110"/>
          <w:sz w:val="48"/>
        </w:rPr>
        <w:t>Building</w:t>
      </w:r>
      <w:r w:rsidRPr="00850EC4">
        <w:rPr>
          <w:rFonts w:ascii="Arial" w:eastAsia="Goudy Old Style" w:hAnsi="Goudy Old Style" w:cs="Goudy Old Style"/>
          <w:spacing w:val="-59"/>
          <w:w w:val="110"/>
          <w:sz w:val="48"/>
        </w:rPr>
        <w:t xml:space="preserve"> </w:t>
      </w:r>
      <w:r w:rsidRPr="00850EC4">
        <w:rPr>
          <w:rFonts w:ascii="Arial" w:eastAsia="Goudy Old Style" w:hAnsi="Goudy Old Style" w:cs="Goudy Old Style"/>
          <w:w w:val="110"/>
          <w:sz w:val="48"/>
        </w:rPr>
        <w:t>Trust</w:t>
      </w:r>
      <w:r w:rsidRPr="00850EC4">
        <w:rPr>
          <w:rFonts w:ascii="Arial" w:eastAsia="Goudy Old Style" w:hAnsi="Goudy Old Style" w:cs="Goudy Old Style"/>
          <w:spacing w:val="-59"/>
          <w:w w:val="110"/>
          <w:sz w:val="48"/>
        </w:rPr>
        <w:t xml:space="preserve"> </w:t>
      </w:r>
      <w:r w:rsidRPr="00850EC4">
        <w:rPr>
          <w:rFonts w:ascii="Arial" w:eastAsia="Goudy Old Style" w:hAnsi="Goudy Old Style" w:cs="Goudy Old Style"/>
          <w:w w:val="110"/>
          <w:sz w:val="48"/>
        </w:rPr>
        <w:t>with</w:t>
      </w:r>
      <w:r w:rsidRPr="00850EC4">
        <w:rPr>
          <w:rFonts w:ascii="Arial" w:eastAsia="Goudy Old Style" w:hAnsi="Goudy Old Style" w:cs="Goudy Old Style"/>
          <w:spacing w:val="-59"/>
          <w:w w:val="110"/>
          <w:sz w:val="48"/>
        </w:rPr>
        <w:t xml:space="preserve"> </w:t>
      </w:r>
      <w:r w:rsidRPr="00850EC4">
        <w:rPr>
          <w:rFonts w:ascii="Arial" w:eastAsia="Goudy Old Style" w:hAnsi="Goudy Old Style" w:cs="Goudy Old Style"/>
          <w:w w:val="110"/>
          <w:sz w:val="48"/>
        </w:rPr>
        <w:t>Your</w:t>
      </w:r>
      <w:r w:rsidRPr="00850EC4">
        <w:rPr>
          <w:rFonts w:ascii="Arial" w:eastAsia="Goudy Old Style" w:hAnsi="Goudy Old Style" w:cs="Goudy Old Style"/>
          <w:spacing w:val="-59"/>
          <w:w w:val="110"/>
          <w:sz w:val="48"/>
        </w:rPr>
        <w:t xml:space="preserve"> </w:t>
      </w:r>
      <w:r w:rsidRPr="00850EC4">
        <w:rPr>
          <w:rFonts w:ascii="Arial" w:eastAsia="Goudy Old Style" w:hAnsi="Goudy Old Style" w:cs="Goudy Old Style"/>
          <w:w w:val="110"/>
          <w:sz w:val="48"/>
        </w:rPr>
        <w:t>Intern</w:t>
      </w:r>
    </w:p>
    <w:p w:rsidR="00850EC4" w:rsidRDefault="00850EC4" w:rsidP="00850EC4">
      <w:pPr>
        <w:widowControl w:val="0"/>
        <w:autoSpaceDE w:val="0"/>
        <w:autoSpaceDN w:val="0"/>
        <w:spacing w:after="0" w:line="240" w:lineRule="auto"/>
        <w:ind w:left="191"/>
        <w:rPr>
          <w:rFonts w:ascii="Arial" w:eastAsia="Goudy Old Style" w:hAnsi="Goudy Old Style" w:cs="Goudy Old Style"/>
          <w:w w:val="110"/>
          <w:sz w:val="48"/>
        </w:rPr>
      </w:pPr>
    </w:p>
    <w:p w:rsidR="00850EC4" w:rsidRPr="00850EC4" w:rsidRDefault="00850EC4" w:rsidP="00850EC4">
      <w:pPr>
        <w:widowControl w:val="0"/>
        <w:autoSpaceDE w:val="0"/>
        <w:autoSpaceDN w:val="0"/>
        <w:spacing w:after="0" w:line="240" w:lineRule="auto"/>
        <w:ind w:left="191"/>
        <w:rPr>
          <w:rFonts w:ascii="Goudy Old Style" w:eastAsia="Goudy Old Style" w:hAnsi="Goudy Old Style" w:cs="Goudy Old Style"/>
          <w:sz w:val="24"/>
          <w:szCs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  <w:szCs w:val="24"/>
        </w:rPr>
        <w:t>Clear expectations, positive tone, useful feedback and exhibiting concern for the student teacher are necessary in establishing a meaningful working relationship with the intern. Taking a proactive approach with your intern by being upfront and specific with your expectations will establish clear guidelines from which to build a trusting relationship. Addressing the expectations below with your mentee during your initial conference will begin the process of a meaningful professional relationship. These expectations should be reinforced during the Professional Development School experience.</w:t>
      </w:r>
    </w:p>
    <w:p w:rsidR="00850EC4" w:rsidRPr="00850EC4" w:rsidRDefault="00850EC4" w:rsidP="00850EC4">
      <w:pPr>
        <w:widowControl w:val="0"/>
        <w:autoSpaceDE w:val="0"/>
        <w:autoSpaceDN w:val="0"/>
        <w:spacing w:before="8" w:after="0" w:line="240" w:lineRule="auto"/>
        <w:rPr>
          <w:rFonts w:ascii="Goudy Old Style" w:eastAsia="Goudy Old Style" w:hAnsi="Goudy Old Style" w:cs="Goudy Old Style"/>
          <w:sz w:val="24"/>
          <w:szCs w:val="24"/>
        </w:rPr>
      </w:pPr>
    </w:p>
    <w:p w:rsidR="00850EC4" w:rsidRPr="00850EC4" w:rsidRDefault="00850EC4" w:rsidP="00850EC4">
      <w:pPr>
        <w:widowControl w:val="0"/>
        <w:autoSpaceDE w:val="0"/>
        <w:autoSpaceDN w:val="0"/>
        <w:spacing w:after="0" w:line="247" w:lineRule="auto"/>
        <w:ind w:left="191" w:right="-19"/>
        <w:outlineLvl w:val="2"/>
        <w:rPr>
          <w:rFonts w:ascii="Goudy Old Style" w:eastAsia="Goudy Old Style" w:hAnsi="Goudy Old Style" w:cs="Goudy Old Style"/>
          <w:b/>
          <w:bCs/>
          <w:sz w:val="31"/>
          <w:szCs w:val="31"/>
        </w:rPr>
      </w:pPr>
      <w:r w:rsidRPr="00850EC4">
        <w:rPr>
          <w:rFonts w:ascii="Goudy Old Style" w:eastAsia="Goudy Old Style" w:hAnsi="Goudy Old Style" w:cs="Goudy Old Style"/>
          <w:b/>
          <w:bCs/>
          <w:color w:val="343434"/>
          <w:sz w:val="31"/>
          <w:szCs w:val="31"/>
        </w:rPr>
        <w:t>List of Behavior Clarifying Mentor Teacher Expectations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89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Attendance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Attention to detail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Attitude toward students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before="5"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Attitude toward supervision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Attitude toward teaching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Copy machine etiquette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Communicating with parents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Completing tasks on time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Content</w:t>
      </w:r>
      <w:r w:rsidRPr="00850EC4">
        <w:rPr>
          <w:rFonts w:ascii="Goudy Old Style" w:eastAsia="Goudy Old Style" w:hAnsi="Goudy Old Style" w:cs="Goudy Old Style"/>
          <w:color w:val="343434"/>
          <w:spacing w:val="-3"/>
          <w:sz w:val="24"/>
        </w:rPr>
        <w:t xml:space="preserve"> </w:t>
      </w:r>
      <w:r w:rsidRPr="00850EC4">
        <w:rPr>
          <w:rFonts w:ascii="Goudy Old Style" w:eastAsia="Goudy Old Style" w:hAnsi="Goudy Old Style" w:cs="Goudy Old Style"/>
          <w:color w:val="343434"/>
          <w:sz w:val="24"/>
        </w:rPr>
        <w:t>knowledge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Dress for student teaching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Enthusiasm for teaching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before="4"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Evaluating student work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Following procedures developed by cooperating teacher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Planning effectively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Projecting confidence to students (amount of confidence)</w:t>
      </w:r>
    </w:p>
    <w:p w:rsidR="00850EC4" w:rsidRPr="00850EC4" w:rsidRDefault="00850EC4" w:rsidP="00850EC4">
      <w:pPr>
        <w:widowControl w:val="0"/>
        <w:numPr>
          <w:ilvl w:val="1"/>
          <w:numId w:val="1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Punctuality (starting time)</w:t>
      </w:r>
      <w:bookmarkStart w:id="0" w:name="_GoBack"/>
      <w:bookmarkEnd w:id="0"/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83"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br w:type="column"/>
      </w:r>
      <w:r w:rsidRPr="00850EC4">
        <w:rPr>
          <w:rFonts w:ascii="Goudy Old Style" w:eastAsia="Goudy Old Style" w:hAnsi="Goudy Old Style" w:cs="Goudy Old Style"/>
          <w:color w:val="343434"/>
          <w:sz w:val="24"/>
        </w:rPr>
        <w:lastRenderedPageBreak/>
        <w:t>Supervision</w:t>
      </w:r>
      <w:r w:rsidRPr="00850EC4">
        <w:rPr>
          <w:rFonts w:ascii="Goudy Old Style" w:eastAsia="Goudy Old Style" w:hAnsi="Goudy Old Style" w:cs="Goudy Old Style"/>
          <w:color w:val="343434"/>
          <w:spacing w:val="-11"/>
          <w:sz w:val="24"/>
        </w:rPr>
        <w:t xml:space="preserve"> </w:t>
      </w:r>
      <w:r w:rsidRPr="00850EC4">
        <w:rPr>
          <w:rFonts w:ascii="Goudy Old Style" w:eastAsia="Goudy Old Style" w:hAnsi="Goudy Old Style" w:cs="Goudy Old Style"/>
          <w:color w:val="343434"/>
          <w:sz w:val="24"/>
        </w:rPr>
        <w:t>responsibilities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Outside activities (clubs, coaching, work, social life)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Quality of written work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Relations with administration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before="4"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Relations with faculty/staff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Relations with students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Student-centered approach to</w:t>
      </w:r>
      <w:r w:rsidRPr="00850EC4">
        <w:rPr>
          <w:rFonts w:ascii="Goudy Old Style" w:eastAsia="Goudy Old Style" w:hAnsi="Goudy Old Style" w:cs="Goudy Old Style"/>
          <w:color w:val="343434"/>
          <w:spacing w:val="-1"/>
          <w:sz w:val="24"/>
        </w:rPr>
        <w:t xml:space="preserve"> </w:t>
      </w:r>
      <w:r w:rsidRPr="00850EC4">
        <w:rPr>
          <w:rFonts w:ascii="Goudy Old Style" w:eastAsia="Goudy Old Style" w:hAnsi="Goudy Old Style" w:cs="Goudy Old Style"/>
          <w:color w:val="343434"/>
          <w:sz w:val="24"/>
        </w:rPr>
        <w:t>teaching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Turning in lesson plans (who/where)</w:t>
      </w:r>
    </w:p>
    <w:p w:rsidR="00850EC4" w:rsidRPr="00850EC4" w:rsidRDefault="00850EC4" w:rsidP="00850EC4">
      <w:pPr>
        <w:widowControl w:val="0"/>
        <w:numPr>
          <w:ilvl w:val="1"/>
          <w:numId w:val="2"/>
        </w:numPr>
        <w:tabs>
          <w:tab w:val="left" w:pos="911"/>
          <w:tab w:val="left" w:pos="912"/>
        </w:tabs>
        <w:autoSpaceDE w:val="0"/>
        <w:autoSpaceDN w:val="0"/>
        <w:spacing w:after="0" w:line="298" w:lineRule="exact"/>
        <w:rPr>
          <w:rFonts w:ascii="Symbol" w:eastAsia="Goudy Old Style" w:hAnsi="Goudy Old Style" w:cs="Goudy Old Style"/>
          <w:color w:val="343434"/>
          <w:sz w:val="24"/>
        </w:rPr>
      </w:pPr>
      <w:r w:rsidRPr="00850EC4">
        <w:rPr>
          <w:rFonts w:ascii="Goudy Old Style" w:eastAsia="Goudy Old Style" w:hAnsi="Goudy Old Style" w:cs="Goudy Old Style"/>
          <w:color w:val="343434"/>
          <w:sz w:val="24"/>
        </w:rPr>
        <w:t>What to do when absent</w:t>
      </w:r>
    </w:p>
    <w:p w:rsidR="00850EC4" w:rsidRPr="00850EC4" w:rsidRDefault="00850EC4" w:rsidP="00850EC4">
      <w:pPr>
        <w:widowControl w:val="0"/>
        <w:autoSpaceDE w:val="0"/>
        <w:autoSpaceDN w:val="0"/>
        <w:spacing w:before="9" w:after="0" w:line="252" w:lineRule="auto"/>
        <w:ind w:left="191" w:right="147"/>
        <w:rPr>
          <w:rFonts w:ascii="Goudy Old Style" w:eastAsia="Goudy Old Style" w:hAnsi="Goudy Old Style" w:cs="Goudy Old Style"/>
          <w:sz w:val="19"/>
        </w:rPr>
      </w:pPr>
      <w:r w:rsidRPr="00850EC4">
        <w:rPr>
          <w:rFonts w:ascii="Goudy Old Style" w:eastAsia="Goudy Old Style" w:hAnsi="Goudy Old Style" w:cs="Goudy Old Style"/>
          <w:color w:val="343434"/>
          <w:w w:val="105"/>
          <w:sz w:val="19"/>
        </w:rPr>
        <w:t>Adapted from “Working with Student Teachers—Getting and Giving the Best” Michael A. Morehead, Lawrence Lyman, and Harvey C. Foyle. A Scarecrow Education Book,</w:t>
      </w:r>
      <w:r w:rsidRPr="00850EC4">
        <w:rPr>
          <w:rFonts w:ascii="Goudy Old Style" w:eastAsia="Goudy Old Style" w:hAnsi="Goudy Old Style" w:cs="Goudy Old Style"/>
          <w:color w:val="343434"/>
          <w:spacing w:val="-4"/>
          <w:w w:val="105"/>
          <w:sz w:val="19"/>
        </w:rPr>
        <w:t xml:space="preserve"> </w:t>
      </w:r>
      <w:r w:rsidRPr="00850EC4">
        <w:rPr>
          <w:rFonts w:ascii="Goudy Old Style" w:eastAsia="Goudy Old Style" w:hAnsi="Goudy Old Style" w:cs="Goudy Old Style"/>
          <w:color w:val="343434"/>
          <w:w w:val="105"/>
          <w:sz w:val="19"/>
        </w:rPr>
        <w:t>2003.</w:t>
      </w:r>
    </w:p>
    <w:p w:rsidR="005042D1" w:rsidRDefault="007B4858"/>
    <w:sectPr w:rsidR="005042D1" w:rsidSect="00511B43">
      <w:pgSz w:w="15840" w:h="12240" w:orient="landscape"/>
      <w:pgMar w:top="1138" w:right="605" w:bottom="936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02F0"/>
    <w:multiLevelType w:val="hybridMultilevel"/>
    <w:tmpl w:val="ACB8C4C4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abstractNum w:abstractNumId="1" w15:restartNumberingAfterBreak="0">
    <w:nsid w:val="5EE55160"/>
    <w:multiLevelType w:val="hybridMultilevel"/>
    <w:tmpl w:val="3E721C36"/>
    <w:lvl w:ilvl="0" w:tplc="C930B6E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  <w:w w:val="100"/>
      </w:rPr>
    </w:lvl>
    <w:lvl w:ilvl="2" w:tplc="BAB2C978">
      <w:numFmt w:val="bullet"/>
      <w:lvlText w:val="•"/>
      <w:lvlJc w:val="left"/>
      <w:pPr>
        <w:ind w:left="1545" w:hanging="360"/>
      </w:pPr>
      <w:rPr>
        <w:rFonts w:hint="default"/>
      </w:rPr>
    </w:lvl>
    <w:lvl w:ilvl="3" w:tplc="AA283208">
      <w:numFmt w:val="bullet"/>
      <w:lvlText w:val="•"/>
      <w:lvlJc w:val="left"/>
      <w:pPr>
        <w:ind w:left="2171" w:hanging="360"/>
      </w:pPr>
      <w:rPr>
        <w:rFonts w:hint="default"/>
      </w:rPr>
    </w:lvl>
    <w:lvl w:ilvl="4" w:tplc="B2FCE8C6">
      <w:numFmt w:val="bullet"/>
      <w:lvlText w:val="•"/>
      <w:lvlJc w:val="left"/>
      <w:pPr>
        <w:ind w:left="2797" w:hanging="360"/>
      </w:pPr>
      <w:rPr>
        <w:rFonts w:hint="default"/>
      </w:rPr>
    </w:lvl>
    <w:lvl w:ilvl="5" w:tplc="71AE9AEE">
      <w:numFmt w:val="bullet"/>
      <w:lvlText w:val="•"/>
      <w:lvlJc w:val="left"/>
      <w:pPr>
        <w:ind w:left="3423" w:hanging="360"/>
      </w:pPr>
      <w:rPr>
        <w:rFonts w:hint="default"/>
      </w:rPr>
    </w:lvl>
    <w:lvl w:ilvl="6" w:tplc="265265CE">
      <w:numFmt w:val="bullet"/>
      <w:lvlText w:val="•"/>
      <w:lvlJc w:val="left"/>
      <w:pPr>
        <w:ind w:left="4049" w:hanging="360"/>
      </w:pPr>
      <w:rPr>
        <w:rFonts w:hint="default"/>
      </w:rPr>
    </w:lvl>
    <w:lvl w:ilvl="7" w:tplc="29FAD26A"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BC22E7BE">
      <w:numFmt w:val="bullet"/>
      <w:lvlText w:val="•"/>
      <w:lvlJc w:val="left"/>
      <w:pPr>
        <w:ind w:left="53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43"/>
    <w:rsid w:val="00386D37"/>
    <w:rsid w:val="003D6C61"/>
    <w:rsid w:val="004022F5"/>
    <w:rsid w:val="00511B43"/>
    <w:rsid w:val="0055518C"/>
    <w:rsid w:val="006D30AD"/>
    <w:rsid w:val="007B4858"/>
    <w:rsid w:val="00850EC4"/>
    <w:rsid w:val="00854C6D"/>
    <w:rsid w:val="00891B4A"/>
    <w:rsid w:val="008C14E6"/>
    <w:rsid w:val="00973ADA"/>
    <w:rsid w:val="00BA630D"/>
    <w:rsid w:val="00CB12CA"/>
    <w:rsid w:val="00D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1E20"/>
  <w15:chartTrackingRefBased/>
  <w15:docId w15:val="{2B1C1795-3FDD-46C2-8ACF-41FC29F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Hobbs, Jena</dc:creator>
  <cp:keywords/>
  <dc:description/>
  <cp:lastModifiedBy>Hobbs, Jena</cp:lastModifiedBy>
  <cp:revision>2</cp:revision>
  <dcterms:created xsi:type="dcterms:W3CDTF">2018-08-10T19:48:00Z</dcterms:created>
  <dcterms:modified xsi:type="dcterms:W3CDTF">2018-08-10T19:48:00Z</dcterms:modified>
</cp:coreProperties>
</file>