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B4A" w:rsidRPr="00891B4A" w:rsidRDefault="00891B4A" w:rsidP="00891B4A">
      <w:pPr>
        <w:widowControl w:val="0"/>
        <w:tabs>
          <w:tab w:val="left" w:pos="14579"/>
        </w:tabs>
        <w:autoSpaceDE w:val="0"/>
        <w:autoSpaceDN w:val="0"/>
        <w:spacing w:before="129" w:after="0" w:line="240" w:lineRule="auto"/>
        <w:ind w:left="191"/>
        <w:rPr>
          <w:rFonts w:ascii="Arial" w:eastAsia="Goudy Old Style" w:hAnsi="Goudy Old Style" w:cs="Goudy Old Style"/>
          <w:sz w:val="40"/>
        </w:rPr>
      </w:pPr>
      <w:r w:rsidRPr="00891B4A">
        <w:rPr>
          <w:rFonts w:ascii="Goudy Old Style" w:eastAsia="Goudy Old Style" w:hAnsi="Goudy Old Style" w:cs="Goudy Old Style"/>
          <w:noProof/>
        </w:rPr>
        <w:drawing>
          <wp:anchor distT="0" distB="0" distL="0" distR="0" simplePos="0" relativeHeight="251659264" behindDoc="0" locked="0" layoutInCell="1" allowOverlap="1" wp14:anchorId="3496ADFA" wp14:editId="139D2577">
            <wp:simplePos x="0" y="0"/>
            <wp:positionH relativeFrom="page">
              <wp:posOffset>418895</wp:posOffset>
            </wp:positionH>
            <wp:positionV relativeFrom="paragraph">
              <wp:posOffset>390268</wp:posOffset>
            </wp:positionV>
            <wp:extent cx="9182304" cy="97535"/>
            <wp:effectExtent l="0" t="0" r="0" b="0"/>
            <wp:wrapTopAndBottom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30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B4A">
        <w:rPr>
          <w:rFonts w:ascii="Arial" w:eastAsia="Goudy Old Style" w:hAnsi="Goudy Old Style" w:cs="Goudy Old Style"/>
          <w:w w:val="105"/>
          <w:sz w:val="40"/>
          <w:u w:val="single"/>
        </w:rPr>
        <w:t>Section</w:t>
      </w:r>
      <w:r w:rsidRPr="00891B4A">
        <w:rPr>
          <w:rFonts w:ascii="Arial" w:eastAsia="Goudy Old Style" w:hAnsi="Goudy Old Style" w:cs="Goudy Old Style"/>
          <w:spacing w:val="-26"/>
          <w:w w:val="105"/>
          <w:sz w:val="40"/>
          <w:u w:val="single"/>
        </w:rPr>
        <w:t xml:space="preserve"> </w:t>
      </w:r>
      <w:r w:rsidRPr="00891B4A">
        <w:rPr>
          <w:rFonts w:ascii="Arial" w:eastAsia="Goudy Old Style" w:hAnsi="Goudy Old Style" w:cs="Goudy Old Style"/>
          <w:w w:val="105"/>
          <w:sz w:val="40"/>
          <w:u w:val="single"/>
        </w:rPr>
        <w:t>7</w:t>
      </w:r>
      <w:r w:rsidRPr="00891B4A">
        <w:rPr>
          <w:rFonts w:ascii="Arial" w:eastAsia="Goudy Old Style" w:hAnsi="Goudy Old Style" w:cs="Goudy Old Style"/>
          <w:sz w:val="40"/>
          <w:u w:val="single"/>
        </w:rPr>
        <w:tab/>
      </w:r>
    </w:p>
    <w:p w:rsidR="00891B4A" w:rsidRPr="00891B4A" w:rsidRDefault="00891B4A" w:rsidP="00891B4A">
      <w:pPr>
        <w:widowControl w:val="0"/>
        <w:autoSpaceDE w:val="0"/>
        <w:autoSpaceDN w:val="0"/>
        <w:spacing w:after="0" w:line="240" w:lineRule="auto"/>
        <w:ind w:left="191"/>
        <w:rPr>
          <w:rFonts w:ascii="Arial" w:eastAsia="Goudy Old Style" w:hAnsi="Goudy Old Style" w:cs="Goudy Old Style"/>
          <w:sz w:val="48"/>
        </w:rPr>
      </w:pPr>
      <w:r w:rsidRPr="00891B4A">
        <w:rPr>
          <w:rFonts w:ascii="Arial" w:eastAsia="Goudy Old Style" w:hAnsi="Goudy Old Style" w:cs="Goudy Old Style"/>
          <w:w w:val="105"/>
          <w:sz w:val="48"/>
        </w:rPr>
        <w:t>Non-Judgmental Response &amp; Mediational</w:t>
      </w:r>
      <w:r w:rsidRPr="00891B4A">
        <w:rPr>
          <w:rFonts w:ascii="Arial" w:eastAsia="Goudy Old Style" w:hAnsi="Goudy Old Style" w:cs="Goudy Old Style"/>
          <w:spacing w:val="-65"/>
          <w:w w:val="105"/>
          <w:sz w:val="48"/>
        </w:rPr>
        <w:t xml:space="preserve"> </w:t>
      </w:r>
      <w:r w:rsidRPr="00891B4A">
        <w:rPr>
          <w:rFonts w:ascii="Arial" w:eastAsia="Goudy Old Style" w:hAnsi="Goudy Old Style" w:cs="Goudy Old Style"/>
          <w:w w:val="105"/>
          <w:sz w:val="48"/>
        </w:rPr>
        <w:t>Questions</w:t>
      </w:r>
    </w:p>
    <w:p w:rsidR="00891B4A" w:rsidRPr="00891B4A" w:rsidRDefault="00891B4A" w:rsidP="00891B4A">
      <w:pPr>
        <w:widowControl w:val="0"/>
        <w:autoSpaceDE w:val="0"/>
        <w:autoSpaceDN w:val="0"/>
        <w:spacing w:before="228" w:after="0" w:line="240" w:lineRule="auto"/>
        <w:ind w:left="191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b/>
          <w:sz w:val="24"/>
        </w:rPr>
        <w:t xml:space="preserve">Non-judgmental responses </w:t>
      </w:r>
      <w:r w:rsidRPr="00891B4A">
        <w:rPr>
          <w:rFonts w:ascii="Goudy Old Style" w:eastAsia="Goudy Old Style" w:hAnsi="Goudy Old Style" w:cs="Goudy Old Style"/>
          <w:sz w:val="24"/>
        </w:rPr>
        <w:t>help to...</w:t>
      </w:r>
    </w:p>
    <w:p w:rsidR="00891B4A" w:rsidRPr="00891B4A" w:rsidRDefault="00891B4A" w:rsidP="00891B4A">
      <w:pPr>
        <w:widowControl w:val="0"/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  <w:sectPr w:rsidR="00891B4A" w:rsidRPr="00891B4A">
          <w:pgSz w:w="15840" w:h="12240" w:orient="landscape"/>
          <w:pgMar w:top="1140" w:right="600" w:bottom="1000" w:left="540" w:header="0" w:footer="746" w:gutter="0"/>
          <w:cols w:space="720"/>
        </w:sectPr>
      </w:pP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6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build trust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promote an internal locus of control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encourage</w:t>
      </w:r>
      <w:r w:rsidRPr="00891B4A">
        <w:rPr>
          <w:rFonts w:ascii="Goudy Old Style" w:eastAsia="Goudy Old Style" w:hAnsi="Goudy Old Style" w:cs="Goudy Old Style"/>
          <w:spacing w:val="-3"/>
          <w:sz w:val="24"/>
        </w:rPr>
        <w:t xml:space="preserve"> </w:t>
      </w:r>
      <w:r w:rsidRPr="00891B4A">
        <w:rPr>
          <w:rFonts w:ascii="Goudy Old Style" w:eastAsia="Goudy Old Style" w:hAnsi="Goudy Old Style" w:cs="Goudy Old Style"/>
          <w:sz w:val="24"/>
        </w:rPr>
        <w:t>self-assessment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develop beginning teacher autonomy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before="4" w:after="0" w:line="240" w:lineRule="auto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foster risk-taking</w:t>
      </w:r>
    </w:p>
    <w:p w:rsidR="00891B4A" w:rsidRPr="00891B4A" w:rsidRDefault="00891B4A" w:rsidP="00891B4A">
      <w:pPr>
        <w:widowControl w:val="0"/>
        <w:autoSpaceDE w:val="0"/>
        <w:autoSpaceDN w:val="0"/>
        <w:spacing w:before="11" w:after="0" w:line="240" w:lineRule="auto"/>
        <w:rPr>
          <w:rFonts w:ascii="Goudy Old Style" w:eastAsia="Goudy Old Style" w:hAnsi="Goudy Old Style" w:cs="Goudy Old Style"/>
          <w:sz w:val="23"/>
          <w:szCs w:val="24"/>
        </w:rPr>
      </w:pPr>
    </w:p>
    <w:p w:rsidR="00891B4A" w:rsidRPr="00891B4A" w:rsidRDefault="00891B4A" w:rsidP="00891B4A">
      <w:pPr>
        <w:widowControl w:val="0"/>
        <w:autoSpaceDE w:val="0"/>
        <w:autoSpaceDN w:val="0"/>
        <w:spacing w:after="0" w:line="288" w:lineRule="exact"/>
        <w:ind w:left="191"/>
        <w:rPr>
          <w:rFonts w:ascii="Goudy Old Style" w:eastAsia="Goudy Old Style" w:hAnsi="Goudy Old Style" w:cs="Goudy Old Style"/>
          <w:sz w:val="24"/>
          <w:szCs w:val="24"/>
        </w:rPr>
      </w:pPr>
      <w:r w:rsidRPr="00891B4A">
        <w:rPr>
          <w:rFonts w:ascii="Goudy Old Style" w:eastAsia="Goudy Old Style" w:hAnsi="Goudy Old Style" w:cs="Goudy Old Style"/>
          <w:sz w:val="24"/>
          <w:szCs w:val="24"/>
        </w:rPr>
        <w:t>Possible examples: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3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Identify what worked and why</w:t>
      </w:r>
    </w:p>
    <w:p w:rsidR="00891B4A" w:rsidRPr="00891B4A" w:rsidRDefault="00891B4A" w:rsidP="00891B4A">
      <w:pPr>
        <w:widowControl w:val="0"/>
        <w:tabs>
          <w:tab w:val="left" w:pos="4245"/>
        </w:tabs>
        <w:autoSpaceDE w:val="0"/>
        <w:autoSpaceDN w:val="0"/>
        <w:spacing w:after="0" w:line="283" w:lineRule="exact"/>
        <w:ind w:left="1631"/>
        <w:rPr>
          <w:rFonts w:ascii="Goudy Old Style" w:eastAsia="Goudy Old Style" w:hAnsi="Goudy Old Style" w:cs="Goudy Old Style"/>
          <w:i/>
          <w:sz w:val="24"/>
        </w:rPr>
      </w:pPr>
      <w:r w:rsidRPr="00891B4A">
        <w:rPr>
          <w:rFonts w:ascii="Goudy Old Style" w:eastAsia="Goudy Old Style" w:hAnsi="Goudy Old Style" w:cs="Goudy Old Style"/>
          <w:i/>
          <w:sz w:val="24"/>
        </w:rPr>
        <w:t>I noticed how when you</w:t>
      </w:r>
      <w:r w:rsidRPr="00891B4A">
        <w:rPr>
          <w:rFonts w:ascii="Goudy Old Style" w:eastAsia="Goudy Old Style" w:hAnsi="Goudy Old Style" w:cs="Goudy Old Style"/>
          <w:i/>
          <w:sz w:val="24"/>
          <w:u w:val="single"/>
        </w:rPr>
        <w:t xml:space="preserve"> </w:t>
      </w:r>
      <w:r w:rsidRPr="00891B4A">
        <w:rPr>
          <w:rFonts w:ascii="Goudy Old Style" w:eastAsia="Goudy Old Style" w:hAnsi="Goudy Old Style" w:cs="Goudy Old Style"/>
          <w:i/>
          <w:sz w:val="24"/>
          <w:u w:val="single"/>
        </w:rPr>
        <w:tab/>
      </w:r>
      <w:r w:rsidRPr="00891B4A">
        <w:rPr>
          <w:rFonts w:ascii="Goudy Old Style" w:eastAsia="Goudy Old Style" w:hAnsi="Goudy Old Style" w:cs="Goudy Old Style"/>
          <w:i/>
          <w:sz w:val="24"/>
        </w:rPr>
        <w:t>the students really...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before="9" w:after="0" w:line="293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Encourage</w:t>
      </w:r>
    </w:p>
    <w:p w:rsidR="00891B4A" w:rsidRPr="00891B4A" w:rsidRDefault="00891B4A" w:rsidP="00891B4A">
      <w:pPr>
        <w:widowControl w:val="0"/>
        <w:autoSpaceDE w:val="0"/>
        <w:autoSpaceDN w:val="0"/>
        <w:spacing w:before="6" w:after="0" w:line="288" w:lineRule="exact"/>
        <w:ind w:left="1631" w:right="-19"/>
        <w:rPr>
          <w:rFonts w:ascii="Goudy Old Style" w:eastAsia="Goudy Old Style" w:hAnsi="Goudy Old Style" w:cs="Goudy Old Style"/>
          <w:i/>
          <w:sz w:val="24"/>
        </w:rPr>
      </w:pPr>
      <w:r w:rsidRPr="00891B4A">
        <w:rPr>
          <w:rFonts w:ascii="Goudy Old Style" w:eastAsia="Goudy Old Style" w:hAnsi="Goudy Old Style" w:cs="Goudy Old Style"/>
          <w:i/>
          <w:sz w:val="24"/>
        </w:rPr>
        <w:t>It sounds like you have many ideas to try out. It’ll be exciting/interesting/great to see which works best for you.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2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Ask the teacher to self-assess</w:t>
      </w:r>
    </w:p>
    <w:p w:rsidR="00891B4A" w:rsidRPr="00891B4A" w:rsidRDefault="00891B4A" w:rsidP="00891B4A">
      <w:pPr>
        <w:widowControl w:val="0"/>
        <w:autoSpaceDE w:val="0"/>
        <w:autoSpaceDN w:val="0"/>
        <w:spacing w:after="0" w:line="283" w:lineRule="exact"/>
        <w:ind w:left="1631"/>
        <w:rPr>
          <w:rFonts w:ascii="Goudy Old Style" w:eastAsia="Goudy Old Style" w:hAnsi="Goudy Old Style" w:cs="Goudy Old Style"/>
          <w:i/>
          <w:sz w:val="24"/>
        </w:rPr>
      </w:pPr>
      <w:r w:rsidRPr="00891B4A">
        <w:rPr>
          <w:rFonts w:ascii="Goudy Old Style" w:eastAsia="Goudy Old Style" w:hAnsi="Goudy Old Style" w:cs="Goudy Old Style"/>
          <w:i/>
          <w:sz w:val="24"/>
        </w:rPr>
        <w:t>How do you think the lesson went and why?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before="9" w:after="0" w:line="293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Ask the teacher to identify his/her role</w:t>
      </w:r>
    </w:p>
    <w:p w:rsidR="00891B4A" w:rsidRPr="00891B4A" w:rsidRDefault="00891B4A" w:rsidP="00891B4A">
      <w:pPr>
        <w:widowControl w:val="0"/>
        <w:autoSpaceDE w:val="0"/>
        <w:autoSpaceDN w:val="0"/>
        <w:spacing w:after="0" w:line="283" w:lineRule="exact"/>
        <w:ind w:left="1631"/>
        <w:rPr>
          <w:rFonts w:ascii="Goudy Old Style" w:eastAsia="Goudy Old Style" w:hAnsi="Goudy Old Style" w:cs="Goudy Old Style"/>
          <w:i/>
          <w:sz w:val="24"/>
        </w:rPr>
      </w:pPr>
      <w:r w:rsidRPr="00891B4A">
        <w:rPr>
          <w:rFonts w:ascii="Goudy Old Style" w:eastAsia="Goudy Old Style" w:hAnsi="Goudy Old Style" w:cs="Goudy Old Style"/>
          <w:i/>
          <w:sz w:val="24"/>
        </w:rPr>
        <w:t>What did you do to make the lesson so successful?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before="10"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Listen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Ask sincere questions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before="4" w:after="0" w:line="240" w:lineRule="auto"/>
        <w:ind w:right="100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Show enthusiasm for and interest in the teacher’s work and thinking</w:t>
      </w:r>
    </w:p>
    <w:p w:rsidR="00891B4A" w:rsidRPr="00891B4A" w:rsidRDefault="00891B4A" w:rsidP="00891B4A">
      <w:pPr>
        <w:widowControl w:val="0"/>
        <w:autoSpaceDE w:val="0"/>
        <w:autoSpaceDN w:val="0"/>
        <w:spacing w:after="0" w:line="288" w:lineRule="exact"/>
        <w:ind w:left="1631" w:right="942"/>
        <w:rPr>
          <w:rFonts w:ascii="Goudy Old Style" w:eastAsia="Goudy Old Style" w:hAnsi="Goudy Old Style" w:cs="Goudy Old Style"/>
          <w:i/>
          <w:sz w:val="24"/>
        </w:rPr>
      </w:pPr>
      <w:r w:rsidRPr="00891B4A">
        <w:rPr>
          <w:rFonts w:ascii="Goudy Old Style" w:eastAsia="Goudy Old Style" w:hAnsi="Goudy Old Style" w:cs="Goudy Old Style"/>
          <w:i/>
          <w:sz w:val="24"/>
        </w:rPr>
        <w:t>I’m interested in hearing/learning more about... I’m really looking forward to...</w:t>
      </w:r>
    </w:p>
    <w:p w:rsidR="00891B4A" w:rsidRPr="00891B4A" w:rsidRDefault="00891B4A" w:rsidP="00891B4A">
      <w:pPr>
        <w:widowControl w:val="0"/>
        <w:autoSpaceDE w:val="0"/>
        <w:autoSpaceDN w:val="0"/>
        <w:spacing w:before="11" w:after="0" w:line="240" w:lineRule="auto"/>
        <w:rPr>
          <w:rFonts w:ascii="Goudy Old Style" w:eastAsia="Goudy Old Style" w:hAnsi="Goudy Old Style" w:cs="Goudy Old Style"/>
          <w:i/>
          <w:sz w:val="23"/>
          <w:szCs w:val="24"/>
        </w:rPr>
      </w:pPr>
    </w:p>
    <w:p w:rsidR="00891B4A" w:rsidRPr="00891B4A" w:rsidRDefault="00891B4A" w:rsidP="00891B4A">
      <w:pPr>
        <w:widowControl w:val="0"/>
        <w:autoSpaceDE w:val="0"/>
        <w:autoSpaceDN w:val="0"/>
        <w:spacing w:after="0" w:line="240" w:lineRule="auto"/>
        <w:ind w:left="191" w:right="2277"/>
        <w:rPr>
          <w:rFonts w:ascii="Goudy Old Style" w:eastAsia="Goudy Old Style" w:hAnsi="Goudy Old Style" w:cs="Goudy Old Style"/>
          <w:sz w:val="24"/>
          <w:szCs w:val="24"/>
        </w:rPr>
      </w:pPr>
      <w:r w:rsidRPr="00891B4A">
        <w:rPr>
          <w:rFonts w:ascii="Goudy Old Style" w:eastAsia="Goudy Old Style" w:hAnsi="Goudy Old Style" w:cs="Goudy Old Style"/>
          <w:b/>
          <w:sz w:val="24"/>
          <w:szCs w:val="24"/>
        </w:rPr>
        <w:t xml:space="preserve">Mediational Questions </w:t>
      </w:r>
      <w:r w:rsidRPr="00891B4A">
        <w:rPr>
          <w:rFonts w:ascii="Goudy Old Style" w:eastAsia="Goudy Old Style" w:hAnsi="Goudy Old Style" w:cs="Goudy Old Style"/>
          <w:sz w:val="24"/>
          <w:szCs w:val="24"/>
        </w:rPr>
        <w:t>help the colleague... HYPOTHESIZE what might happen ANALYZE what worked or didn’t IMAGINE possibilities</w:t>
      </w:r>
    </w:p>
    <w:p w:rsidR="00891B4A" w:rsidRPr="00891B4A" w:rsidRDefault="00891B4A" w:rsidP="00891B4A">
      <w:pPr>
        <w:widowControl w:val="0"/>
        <w:autoSpaceDE w:val="0"/>
        <w:autoSpaceDN w:val="0"/>
        <w:spacing w:after="0" w:line="240" w:lineRule="auto"/>
        <w:ind w:left="191"/>
        <w:rPr>
          <w:rFonts w:ascii="Goudy Old Style" w:eastAsia="Goudy Old Style" w:hAnsi="Goudy Old Style" w:cs="Goudy Old Style"/>
          <w:sz w:val="24"/>
          <w:szCs w:val="24"/>
        </w:rPr>
      </w:pPr>
      <w:r w:rsidRPr="00891B4A">
        <w:rPr>
          <w:rFonts w:ascii="Goudy Old Style" w:eastAsia="Goudy Old Style" w:hAnsi="Goudy Old Style" w:cs="Goudy Old Style"/>
          <w:sz w:val="24"/>
          <w:szCs w:val="24"/>
        </w:rPr>
        <w:t>COMPARE &amp; CONTRAST what was planned with what ensued</w:t>
      </w:r>
    </w:p>
    <w:p w:rsidR="00891B4A" w:rsidRPr="00891B4A" w:rsidRDefault="00891B4A" w:rsidP="00891B4A">
      <w:pPr>
        <w:widowControl w:val="0"/>
        <w:autoSpaceDE w:val="0"/>
        <w:autoSpaceDN w:val="0"/>
        <w:spacing w:after="0" w:line="287" w:lineRule="exact"/>
        <w:ind w:left="191"/>
        <w:rPr>
          <w:rFonts w:ascii="Goudy Old Style" w:eastAsia="Goudy Old Style" w:hAnsi="Goudy Old Style" w:cs="Goudy Old Style"/>
          <w:sz w:val="24"/>
          <w:szCs w:val="24"/>
        </w:rPr>
      </w:pPr>
      <w:r w:rsidRPr="00891B4A">
        <w:rPr>
          <w:rFonts w:ascii="Goudy Old Style" w:eastAsia="Goudy Old Style" w:hAnsi="Goudy Old Style" w:cs="Goudy Old Style"/>
          <w:sz w:val="24"/>
          <w:szCs w:val="24"/>
        </w:rPr>
        <w:br w:type="column"/>
      </w:r>
      <w:r w:rsidRPr="00891B4A">
        <w:rPr>
          <w:rFonts w:ascii="Goudy Old Style" w:eastAsia="Goudy Old Style" w:hAnsi="Goudy Old Style" w:cs="Goudy Old Style"/>
          <w:sz w:val="24"/>
          <w:szCs w:val="24"/>
        </w:rPr>
        <w:t>Some mediational question stems include...</w:t>
      </w:r>
    </w:p>
    <w:p w:rsidR="00891B4A" w:rsidRPr="00891B4A" w:rsidRDefault="00891B4A" w:rsidP="00891B4A">
      <w:pPr>
        <w:widowControl w:val="0"/>
        <w:autoSpaceDE w:val="0"/>
        <w:autoSpaceDN w:val="0"/>
        <w:spacing w:before="11" w:after="0" w:line="240" w:lineRule="auto"/>
        <w:rPr>
          <w:rFonts w:ascii="Goudy Old Style" w:eastAsia="Goudy Old Style" w:hAnsi="Goudy Old Style" w:cs="Goudy Old Style"/>
          <w:sz w:val="23"/>
          <w:szCs w:val="24"/>
        </w:rPr>
      </w:pP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What’s another way you might...?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What would it look like if...?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What do you think would happen if...?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How was...different from</w:t>
      </w:r>
      <w:r w:rsidRPr="00891B4A">
        <w:rPr>
          <w:rFonts w:ascii="Goudy Old Style" w:eastAsia="Goudy Old Style" w:hAnsi="Goudy Old Style" w:cs="Goudy Old Style"/>
          <w:spacing w:val="-6"/>
          <w:sz w:val="24"/>
        </w:rPr>
        <w:t xml:space="preserve"> </w:t>
      </w:r>
      <w:r w:rsidRPr="00891B4A">
        <w:rPr>
          <w:rFonts w:ascii="Goudy Old Style" w:eastAsia="Goudy Old Style" w:hAnsi="Goudy Old Style" w:cs="Goudy Old Style"/>
          <w:sz w:val="24"/>
        </w:rPr>
        <w:t>(like)...?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before="4"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What’s another way you might...?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What sort of impact do you think...?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What criteria do you use to...?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When have you done something like.... before?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What do you think...?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How did you decide... (come to the conclusion)?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What might you see happening in your classroom if?</w:t>
      </w:r>
    </w:p>
    <w:p w:rsidR="00891B4A" w:rsidRPr="00891B4A" w:rsidRDefault="00891B4A" w:rsidP="00891B4A">
      <w:pPr>
        <w:widowControl w:val="0"/>
        <w:autoSpaceDE w:val="0"/>
        <w:autoSpaceDN w:val="0"/>
        <w:spacing w:before="1" w:after="0" w:line="240" w:lineRule="auto"/>
        <w:rPr>
          <w:rFonts w:ascii="Goudy Old Style" w:eastAsia="Goudy Old Style" w:hAnsi="Goudy Old Style" w:cs="Goudy Old Style"/>
          <w:sz w:val="25"/>
          <w:szCs w:val="24"/>
        </w:rPr>
      </w:pPr>
    </w:p>
    <w:p w:rsidR="00891B4A" w:rsidRPr="00891B4A" w:rsidRDefault="00891B4A" w:rsidP="00891B4A">
      <w:pPr>
        <w:widowControl w:val="0"/>
        <w:autoSpaceDE w:val="0"/>
        <w:autoSpaceDN w:val="0"/>
        <w:spacing w:before="1" w:after="0" w:line="240" w:lineRule="auto"/>
        <w:ind w:left="191"/>
        <w:rPr>
          <w:rFonts w:ascii="Goudy Old Style" w:eastAsia="Goudy Old Style" w:hAnsi="Goudy Old Style" w:cs="Goudy Old Style"/>
          <w:sz w:val="19"/>
        </w:rPr>
      </w:pPr>
      <w:r w:rsidRPr="00891B4A">
        <w:rPr>
          <w:rFonts w:ascii="Goudy Old Style" w:eastAsia="Goudy Old Style" w:hAnsi="Goudy Old Style" w:cs="Goudy Old Style"/>
          <w:w w:val="105"/>
          <w:sz w:val="19"/>
        </w:rPr>
        <w:t xml:space="preserve">Article found at </w:t>
      </w:r>
      <w:hyperlink r:id="rId6">
        <w:r w:rsidRPr="00891B4A">
          <w:rPr>
            <w:rFonts w:ascii="Goudy Old Style" w:eastAsia="Goudy Old Style" w:hAnsi="Goudy Old Style" w:cs="Goudy Old Style"/>
            <w:w w:val="105"/>
            <w:sz w:val="19"/>
          </w:rPr>
          <w:t>http://newteachercenter.org/blog/phases-first-year-teaching</w:t>
        </w:r>
      </w:hyperlink>
    </w:p>
    <w:p w:rsidR="00891B4A" w:rsidRPr="00891B4A" w:rsidRDefault="00891B4A" w:rsidP="00891B4A">
      <w:pPr>
        <w:widowControl w:val="0"/>
        <w:autoSpaceDE w:val="0"/>
        <w:autoSpaceDN w:val="0"/>
        <w:spacing w:before="11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891B4A" w:rsidRPr="00891B4A" w:rsidRDefault="00891B4A" w:rsidP="00891B4A">
      <w:pPr>
        <w:widowControl w:val="0"/>
        <w:autoSpaceDE w:val="0"/>
        <w:autoSpaceDN w:val="0"/>
        <w:spacing w:after="0" w:line="247" w:lineRule="auto"/>
        <w:ind w:left="191" w:right="348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891B4A">
        <w:rPr>
          <w:rFonts w:ascii="Goudy Old Style" w:eastAsia="Goudy Old Style" w:hAnsi="Goudy Old Style" w:cs="Goudy Old Style"/>
          <w:b/>
          <w:bCs/>
          <w:sz w:val="31"/>
          <w:szCs w:val="31"/>
        </w:rPr>
        <w:t>Mentor Teacher Checklist for Assessing Skills in Developing Positive Relationships with   Interns</w:t>
      </w:r>
    </w:p>
    <w:p w:rsidR="00891B4A" w:rsidRPr="00891B4A" w:rsidRDefault="00891B4A" w:rsidP="00891B4A">
      <w:pPr>
        <w:widowControl w:val="0"/>
        <w:autoSpaceDE w:val="0"/>
        <w:autoSpaceDN w:val="0"/>
        <w:spacing w:after="0" w:line="280" w:lineRule="exact"/>
        <w:ind w:left="191"/>
        <w:rPr>
          <w:rFonts w:ascii="Goudy Old Style" w:eastAsia="Goudy Old Style" w:hAnsi="Goudy Old Style" w:cs="Goudy Old Style"/>
          <w:sz w:val="24"/>
          <w:szCs w:val="24"/>
        </w:rPr>
      </w:pPr>
      <w:r w:rsidRPr="00891B4A">
        <w:rPr>
          <w:rFonts w:ascii="Goudy Old Style" w:eastAsia="Goudy Old Style" w:hAnsi="Goudy Old Style" w:cs="Goudy Old Style"/>
          <w:sz w:val="24"/>
          <w:szCs w:val="24"/>
        </w:rPr>
        <w:t>How well am I prepared to do the following with my intern?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383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Modeling appropriate teaching behavior and develop creative, reflective, and engaging teaching strategies?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7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Providing a rationale for the teaching decisions I make.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328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Demonstrating a positive, professional attitude in dealing with students, colleagues, administrators, and parents.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7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Demonstrating effective communication skills.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Establishing clear expectations.</w:t>
      </w:r>
    </w:p>
    <w:p w:rsidR="00891B4A" w:rsidRPr="00891B4A" w:rsidRDefault="00891B4A" w:rsidP="00891B4A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Establishing trust with my intern.</w:t>
      </w:r>
    </w:p>
    <w:p w:rsidR="00891B4A" w:rsidRPr="00891B4A" w:rsidRDefault="00891B4A" w:rsidP="00891B4A">
      <w:pPr>
        <w:widowControl w:val="0"/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  <w:sectPr w:rsidR="00891B4A" w:rsidRPr="00891B4A">
          <w:type w:val="continuous"/>
          <w:pgSz w:w="15840" w:h="12240" w:orient="landscape"/>
          <w:pgMar w:top="920" w:right="600" w:bottom="280" w:left="540" w:header="720" w:footer="720" w:gutter="0"/>
          <w:cols w:num="2" w:space="720" w:equalWidth="0">
            <w:col w:w="6647" w:space="909"/>
            <w:col w:w="7144"/>
          </w:cols>
        </w:sectPr>
      </w:pPr>
    </w:p>
    <w:p w:rsidR="00891B4A" w:rsidRPr="00891B4A" w:rsidRDefault="00891B4A" w:rsidP="00891B4A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before="138"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lastRenderedPageBreak/>
        <w:t>Demonstrating positive regard for the</w:t>
      </w:r>
      <w:r w:rsidRPr="00891B4A">
        <w:rPr>
          <w:rFonts w:ascii="Goudy Old Style" w:eastAsia="Goudy Old Style" w:hAnsi="Goudy Old Style" w:cs="Goudy Old Style"/>
          <w:spacing w:val="-7"/>
          <w:sz w:val="24"/>
        </w:rPr>
        <w:t xml:space="preserve"> </w:t>
      </w:r>
      <w:r w:rsidRPr="00891B4A">
        <w:rPr>
          <w:rFonts w:ascii="Goudy Old Style" w:eastAsia="Goudy Old Style" w:hAnsi="Goudy Old Style" w:cs="Goudy Old Style"/>
          <w:sz w:val="24"/>
        </w:rPr>
        <w:t>intern.</w:t>
      </w:r>
    </w:p>
    <w:p w:rsidR="00891B4A" w:rsidRPr="00891B4A" w:rsidRDefault="00891B4A" w:rsidP="00891B4A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Willingly share my classroom and</w:t>
      </w:r>
      <w:r w:rsidRPr="00891B4A">
        <w:rPr>
          <w:rFonts w:ascii="Goudy Old Style" w:eastAsia="Goudy Old Style" w:hAnsi="Goudy Old Style" w:cs="Goudy Old Style"/>
          <w:spacing w:val="-1"/>
          <w:sz w:val="24"/>
        </w:rPr>
        <w:t xml:space="preserve"> </w:t>
      </w:r>
      <w:r w:rsidRPr="00891B4A">
        <w:rPr>
          <w:rFonts w:ascii="Goudy Old Style" w:eastAsia="Goudy Old Style" w:hAnsi="Goudy Old Style" w:cs="Goudy Old Style"/>
          <w:sz w:val="24"/>
        </w:rPr>
        <w:t>students.</w:t>
      </w:r>
    </w:p>
    <w:p w:rsidR="00891B4A" w:rsidRPr="00891B4A" w:rsidRDefault="00891B4A" w:rsidP="00891B4A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before="4" w:after="0" w:line="240" w:lineRule="auto"/>
        <w:ind w:right="7715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Willingly invest time and effort in establishing and developing a positive working relationship.</w:t>
      </w:r>
    </w:p>
    <w:p w:rsidR="00891B4A" w:rsidRPr="00891B4A" w:rsidRDefault="00891B4A" w:rsidP="00891B4A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8661"/>
        <w:rPr>
          <w:rFonts w:ascii="Goudy Old Style" w:eastAsia="Goudy Old Style" w:hAnsi="Goudy Old Style" w:cs="Goudy Old Style"/>
          <w:sz w:val="24"/>
        </w:rPr>
      </w:pPr>
      <w:r w:rsidRPr="00891B4A">
        <w:rPr>
          <w:rFonts w:ascii="Goudy Old Style" w:eastAsia="Goudy Old Style" w:hAnsi="Goudy Old Style" w:cs="Goudy Old Style"/>
          <w:sz w:val="24"/>
        </w:rPr>
        <w:t>Being a good listener and exhibiting patience with the professional development of my intern.</w:t>
      </w:r>
    </w:p>
    <w:p w:rsidR="005042D1" w:rsidRDefault="00891B4A" w:rsidP="00891B4A">
      <w:r w:rsidRPr="00891B4A">
        <w:rPr>
          <w:rFonts w:ascii="Goudy Old Style" w:eastAsia="Goudy Old Style" w:hAnsi="Goudy Old Style" w:cs="Goudy Old Style"/>
          <w:w w:val="105"/>
          <w:sz w:val="19"/>
        </w:rPr>
        <w:t>Adapted from “Working with Student Teachers—Getting and Giving the Best” Michael A. Morehead, Lawrence Lyman, and Harvey C. Foyle, A Scarecrow Education Book,</w:t>
      </w:r>
      <w:r w:rsidRPr="00891B4A">
        <w:rPr>
          <w:rFonts w:ascii="Goudy Old Style" w:eastAsia="Goudy Old Style" w:hAnsi="Goudy Old Style" w:cs="Goudy Old Style"/>
          <w:spacing w:val="-5"/>
          <w:w w:val="105"/>
          <w:sz w:val="19"/>
        </w:rPr>
        <w:t xml:space="preserve"> </w:t>
      </w:r>
      <w:r w:rsidRPr="00891B4A">
        <w:rPr>
          <w:rFonts w:ascii="Goudy Old Style" w:eastAsia="Goudy Old Style" w:hAnsi="Goudy Old Style" w:cs="Goudy Old Style"/>
          <w:w w:val="105"/>
          <w:sz w:val="19"/>
        </w:rPr>
        <w:t>2003</w:t>
      </w:r>
      <w:r w:rsidRPr="00891B4A">
        <w:rPr>
          <w:rFonts w:ascii="Goudy Old Style" w:eastAsia="Goudy Old Style" w:hAnsi="Goudy Old Style" w:cs="Goudy Old Style"/>
          <w:sz w:val="19"/>
        </w:rPr>
        <w:t>.</w:t>
      </w:r>
      <w:bookmarkStart w:id="0" w:name="_GoBack"/>
      <w:bookmarkEnd w:id="0"/>
    </w:p>
    <w:sectPr w:rsidR="005042D1" w:rsidSect="00511B43">
      <w:pgSz w:w="15840" w:h="12240" w:orient="landscape"/>
      <w:pgMar w:top="1138" w:right="605" w:bottom="93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7B6A"/>
    <w:multiLevelType w:val="hybridMultilevel"/>
    <w:tmpl w:val="C6E49B80"/>
    <w:lvl w:ilvl="0" w:tplc="2AF204BE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04A88C6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87EF7DE"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BBEE3CB0">
      <w:numFmt w:val="bullet"/>
      <w:lvlText w:val="•"/>
      <w:lvlJc w:val="left"/>
      <w:pPr>
        <w:ind w:left="2223" w:hanging="360"/>
      </w:pPr>
      <w:rPr>
        <w:rFonts w:hint="default"/>
      </w:rPr>
    </w:lvl>
    <w:lvl w:ilvl="4" w:tplc="BD3AF86A">
      <w:numFmt w:val="bullet"/>
      <w:lvlText w:val="•"/>
      <w:lvlJc w:val="left"/>
      <w:pPr>
        <w:ind w:left="2874" w:hanging="360"/>
      </w:pPr>
      <w:rPr>
        <w:rFonts w:hint="default"/>
      </w:rPr>
    </w:lvl>
    <w:lvl w:ilvl="5" w:tplc="A978F1DE">
      <w:numFmt w:val="bullet"/>
      <w:lvlText w:val="•"/>
      <w:lvlJc w:val="left"/>
      <w:pPr>
        <w:ind w:left="3526" w:hanging="360"/>
      </w:pPr>
      <w:rPr>
        <w:rFonts w:hint="default"/>
      </w:rPr>
    </w:lvl>
    <w:lvl w:ilvl="6" w:tplc="6AA83394">
      <w:numFmt w:val="bullet"/>
      <w:lvlText w:val="•"/>
      <w:lvlJc w:val="left"/>
      <w:pPr>
        <w:ind w:left="4178" w:hanging="360"/>
      </w:pPr>
      <w:rPr>
        <w:rFonts w:hint="default"/>
      </w:rPr>
    </w:lvl>
    <w:lvl w:ilvl="7" w:tplc="077C8FB0">
      <w:numFmt w:val="bullet"/>
      <w:lvlText w:val="•"/>
      <w:lvlJc w:val="left"/>
      <w:pPr>
        <w:ind w:left="4829" w:hanging="360"/>
      </w:pPr>
      <w:rPr>
        <w:rFonts w:hint="default"/>
      </w:rPr>
    </w:lvl>
    <w:lvl w:ilvl="8" w:tplc="DF28820C">
      <w:numFmt w:val="bullet"/>
      <w:lvlText w:val="•"/>
      <w:lvlJc w:val="left"/>
      <w:pPr>
        <w:ind w:left="5481" w:hanging="360"/>
      </w:pPr>
      <w:rPr>
        <w:rFonts w:hint="default"/>
      </w:rPr>
    </w:lvl>
  </w:abstractNum>
  <w:abstractNum w:abstractNumId="1" w15:restartNumberingAfterBreak="0">
    <w:nsid w:val="7A113817"/>
    <w:multiLevelType w:val="hybridMultilevel"/>
    <w:tmpl w:val="1598E084"/>
    <w:lvl w:ilvl="0" w:tplc="C930B6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462E8E8">
      <w:numFmt w:val="bullet"/>
      <w:lvlText w:val=""/>
      <w:lvlJc w:val="left"/>
      <w:pPr>
        <w:ind w:left="911" w:hanging="360"/>
      </w:pPr>
      <w:rPr>
        <w:rFonts w:hint="default"/>
        <w:w w:val="100"/>
      </w:rPr>
    </w:lvl>
    <w:lvl w:ilvl="2" w:tplc="BAB2C978"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A283208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B2FCE8C6">
      <w:numFmt w:val="bullet"/>
      <w:lvlText w:val="•"/>
      <w:lvlJc w:val="left"/>
      <w:pPr>
        <w:ind w:left="2797" w:hanging="360"/>
      </w:pPr>
      <w:rPr>
        <w:rFonts w:hint="default"/>
      </w:rPr>
    </w:lvl>
    <w:lvl w:ilvl="5" w:tplc="71AE9AEE">
      <w:numFmt w:val="bullet"/>
      <w:lvlText w:val="•"/>
      <w:lvlJc w:val="left"/>
      <w:pPr>
        <w:ind w:left="3423" w:hanging="360"/>
      </w:pPr>
      <w:rPr>
        <w:rFonts w:hint="default"/>
      </w:rPr>
    </w:lvl>
    <w:lvl w:ilvl="6" w:tplc="265265CE">
      <w:numFmt w:val="bullet"/>
      <w:lvlText w:val="•"/>
      <w:lvlJc w:val="left"/>
      <w:pPr>
        <w:ind w:left="4049" w:hanging="360"/>
      </w:pPr>
      <w:rPr>
        <w:rFonts w:hint="default"/>
      </w:rPr>
    </w:lvl>
    <w:lvl w:ilvl="7" w:tplc="29FAD26A"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BC22E7BE">
      <w:numFmt w:val="bullet"/>
      <w:lvlText w:val="•"/>
      <w:lvlJc w:val="left"/>
      <w:pPr>
        <w:ind w:left="53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3"/>
    <w:rsid w:val="00386D37"/>
    <w:rsid w:val="003D6C61"/>
    <w:rsid w:val="004022F5"/>
    <w:rsid w:val="00511B43"/>
    <w:rsid w:val="0055518C"/>
    <w:rsid w:val="006D30AD"/>
    <w:rsid w:val="00854C6D"/>
    <w:rsid w:val="00891B4A"/>
    <w:rsid w:val="008C14E6"/>
    <w:rsid w:val="00973ADA"/>
    <w:rsid w:val="00BA630D"/>
    <w:rsid w:val="00CB12CA"/>
    <w:rsid w:val="00D4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1E20"/>
  <w15:chartTrackingRefBased/>
  <w15:docId w15:val="{2B1C1795-3FDD-46C2-8ACF-41FC29F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teachercenter.org/blog/phases-first-year-teach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Jena</dc:creator>
  <cp:keywords/>
  <dc:description/>
  <cp:lastModifiedBy>Hobbs, Jena</cp:lastModifiedBy>
  <cp:revision>2</cp:revision>
  <dcterms:created xsi:type="dcterms:W3CDTF">2018-08-10T19:47:00Z</dcterms:created>
  <dcterms:modified xsi:type="dcterms:W3CDTF">2018-08-10T19:47:00Z</dcterms:modified>
</cp:coreProperties>
</file>