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B7" w:rsidRDefault="003B23B7" w:rsidP="003B23B7">
      <w:pPr>
        <w:tabs>
          <w:tab w:val="left" w:pos="14619"/>
        </w:tabs>
        <w:spacing w:before="129"/>
        <w:ind w:left="231"/>
        <w:rPr>
          <w:rFonts w:ascii="Arial"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2AD973" wp14:editId="4CE50225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40"/>
          <w:u w:val="single"/>
        </w:rPr>
        <w:t>Section</w:t>
      </w:r>
      <w:r>
        <w:rPr>
          <w:rFonts w:ascii="Arial"/>
          <w:spacing w:val="-26"/>
          <w:w w:val="105"/>
          <w:sz w:val="40"/>
          <w:u w:val="single"/>
        </w:rPr>
        <w:t xml:space="preserve"> </w:t>
      </w:r>
      <w:r>
        <w:rPr>
          <w:rFonts w:ascii="Arial"/>
          <w:w w:val="105"/>
          <w:sz w:val="40"/>
          <w:u w:val="single"/>
        </w:rPr>
        <w:t>1</w:t>
      </w:r>
      <w:r>
        <w:rPr>
          <w:rFonts w:ascii="Arial"/>
          <w:sz w:val="40"/>
          <w:u w:val="single"/>
        </w:rPr>
        <w:tab/>
      </w:r>
    </w:p>
    <w:p w:rsidR="003B23B7" w:rsidRDefault="003B23B7" w:rsidP="003B23B7">
      <w:pPr>
        <w:ind w:left="231"/>
        <w:rPr>
          <w:rFonts w:ascii="Arial"/>
          <w:sz w:val="48"/>
        </w:rPr>
      </w:pPr>
      <w:r>
        <w:rPr>
          <w:rFonts w:ascii="Arial"/>
          <w:w w:val="105"/>
          <w:sz w:val="48"/>
        </w:rPr>
        <w:t>What it IS; What it is NOT</w:t>
      </w:r>
    </w:p>
    <w:p w:rsidR="003B23B7" w:rsidRDefault="003B23B7" w:rsidP="003B23B7">
      <w:pPr>
        <w:pStyle w:val="BodyText"/>
        <w:spacing w:before="11"/>
        <w:ind w:left="0" w:firstLine="0"/>
        <w:rPr>
          <w:rFonts w:ascii="Arial"/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7"/>
        <w:gridCol w:w="4867"/>
        <w:gridCol w:w="4764"/>
      </w:tblGrid>
      <w:tr w:rsidR="003B23B7" w:rsidTr="000E004D">
        <w:trPr>
          <w:trHeight w:hRule="exact" w:val="298"/>
        </w:trPr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019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 of Co-Teaching</w:t>
            </w:r>
          </w:p>
        </w:tc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Co-Teaching DOES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:rsidR="003B23B7" w:rsidRDefault="003B23B7" w:rsidP="000E004D">
            <w:pPr>
              <w:pStyle w:val="TableParagraph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Co-Teaching Does NOT</w:t>
            </w:r>
          </w:p>
        </w:tc>
      </w:tr>
      <w:tr w:rsidR="003B23B7" w:rsidTr="000E004D">
        <w:trPr>
          <w:trHeight w:hRule="exact" w:val="1162"/>
        </w:trPr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019" w:right="1015"/>
              <w:jc w:val="center"/>
              <w:rPr>
                <w:sz w:val="24"/>
              </w:rPr>
            </w:pPr>
            <w:r>
              <w:rPr>
                <w:sz w:val="24"/>
              </w:rPr>
              <w:t>“two or more professionals”</w:t>
            </w:r>
          </w:p>
        </w:tc>
        <w:tc>
          <w:tcPr>
            <w:tcW w:w="4867" w:type="dxa"/>
          </w:tcPr>
          <w:p w:rsidR="003B23B7" w:rsidRDefault="003B23B7" w:rsidP="000E004D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involve at least 2 peers who are partners in the instructional effort.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:rsidR="003B23B7" w:rsidRDefault="003B23B7" w:rsidP="000E004D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involve a teacher and a classroom volunteer or paraprofessional who do not have the professional preparation to co-teach (Friend, 2003).</w:t>
            </w:r>
          </w:p>
        </w:tc>
      </w:tr>
      <w:tr w:rsidR="003B23B7" w:rsidTr="000E004D">
        <w:trPr>
          <w:trHeight w:hRule="exact" w:val="2026"/>
        </w:trPr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019" w:right="1015"/>
              <w:jc w:val="center"/>
              <w:rPr>
                <w:sz w:val="24"/>
              </w:rPr>
            </w:pPr>
            <w:r>
              <w:rPr>
                <w:sz w:val="24"/>
              </w:rPr>
              <w:t>“joint delivery of instruction”</w:t>
            </w:r>
          </w:p>
        </w:tc>
        <w:tc>
          <w:tcPr>
            <w:tcW w:w="4867" w:type="dxa"/>
          </w:tcPr>
          <w:p w:rsidR="003B23B7" w:rsidRDefault="003B23B7" w:rsidP="000E004D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mean both coordinate and deliver substantive instruction, ensuring that both teachers have active roles. Co-teachers should work to ensure that their instructional strategies engage all students in ways that are not possible when only one teacher is present (Austin, 2001; Gately &amp; Gately, 2001).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:rsidR="003B23B7" w:rsidRDefault="003B23B7" w:rsidP="000E004D">
            <w:pPr>
              <w:pStyle w:val="TableParagraph"/>
              <w:spacing w:line="240" w:lineRule="auto"/>
              <w:ind w:right="32"/>
              <w:rPr>
                <w:sz w:val="24"/>
              </w:rPr>
            </w:pPr>
            <w:r>
              <w:rPr>
                <w:sz w:val="24"/>
              </w:rPr>
              <w:t xml:space="preserve">mean two adults merely being present in the classroom at the same time. It also does not mean that one teacher plans and delivers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lessons while the other circulates. It does not involve taking turns teaching the whole group (</w:t>
            </w:r>
            <w:proofErr w:type="spellStart"/>
            <w:r>
              <w:rPr>
                <w:sz w:val="24"/>
              </w:rPr>
              <w:t>Murawski</w:t>
            </w:r>
            <w:proofErr w:type="spellEnd"/>
            <w:r>
              <w:rPr>
                <w:sz w:val="24"/>
              </w:rPr>
              <w:t>, 2002).</w:t>
            </w:r>
          </w:p>
        </w:tc>
      </w:tr>
      <w:tr w:rsidR="003B23B7" w:rsidTr="000E004D">
        <w:trPr>
          <w:trHeight w:hRule="exact" w:val="1454"/>
        </w:trPr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019" w:right="1015"/>
              <w:jc w:val="center"/>
              <w:rPr>
                <w:sz w:val="24"/>
              </w:rPr>
            </w:pPr>
            <w:r>
              <w:rPr>
                <w:sz w:val="24"/>
              </w:rPr>
              <w:t>“diverse group of students”</w:t>
            </w:r>
          </w:p>
        </w:tc>
        <w:tc>
          <w:tcPr>
            <w:tcW w:w="4867" w:type="dxa"/>
          </w:tcPr>
          <w:p w:rsidR="003B23B7" w:rsidRDefault="003B23B7" w:rsidP="000E004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allow teachers to respond effectively to diverse needs of students, lower the teacher-student ration, and expand the professional expertise that can be applied to student needs (</w:t>
            </w:r>
            <w:proofErr w:type="spellStart"/>
            <w:r>
              <w:rPr>
                <w:sz w:val="24"/>
              </w:rPr>
              <w:t>Hourcade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Bauwens</w:t>
            </w:r>
            <w:proofErr w:type="spellEnd"/>
            <w:r>
              <w:rPr>
                <w:sz w:val="24"/>
              </w:rPr>
              <w:t>, 2001).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:rsidR="003B23B7" w:rsidRDefault="003B23B7" w:rsidP="000E004D">
            <w:pPr>
              <w:pStyle w:val="TableParagraph"/>
              <w:spacing w:line="240" w:lineRule="auto"/>
              <w:ind w:right="70"/>
              <w:rPr>
                <w:sz w:val="24"/>
              </w:rPr>
            </w:pPr>
            <w:r>
              <w:rPr>
                <w:sz w:val="24"/>
              </w:rPr>
              <w:t>include separating or grouping students with special needs in one part of the classroom or along the fringes, even if these practices are well- intentioned (Friend, 2003).</w:t>
            </w:r>
          </w:p>
        </w:tc>
      </w:tr>
      <w:tr w:rsidR="003B23B7" w:rsidTr="000E004D">
        <w:trPr>
          <w:trHeight w:hRule="exact" w:val="1738"/>
        </w:trPr>
        <w:tc>
          <w:tcPr>
            <w:tcW w:w="4867" w:type="dxa"/>
          </w:tcPr>
          <w:p w:rsidR="003B23B7" w:rsidRDefault="003B23B7" w:rsidP="000E004D">
            <w:pPr>
              <w:pStyle w:val="TableParagraph"/>
              <w:ind w:left="1019" w:right="1015"/>
              <w:jc w:val="center"/>
              <w:rPr>
                <w:sz w:val="24"/>
              </w:rPr>
            </w:pPr>
            <w:r>
              <w:rPr>
                <w:sz w:val="24"/>
              </w:rPr>
              <w:t>“shared classroom space”</w:t>
            </w:r>
          </w:p>
        </w:tc>
        <w:tc>
          <w:tcPr>
            <w:tcW w:w="4867" w:type="dxa"/>
          </w:tcPr>
          <w:p w:rsidR="003B23B7" w:rsidRDefault="003B23B7" w:rsidP="000E004D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feature co-teachers instructing in the same physical space. Although small groups may occasionally be taken to a separate location for a specific purpose and limited time, co-teaching generally takes place in a single environment (Friend, 2003).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:rsidR="003B23B7" w:rsidRDefault="003B23B7" w:rsidP="000E004D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include teaching teams that plan together but then group and instruct in separate classrooms (Trump, 1966; Green,1985).</w:t>
            </w:r>
          </w:p>
        </w:tc>
      </w:tr>
    </w:tbl>
    <w:p w:rsidR="005042D1" w:rsidRDefault="001F38B5">
      <w:bookmarkStart w:id="0" w:name="_GoBack"/>
      <w:bookmarkEnd w:id="0"/>
    </w:p>
    <w:sectPr w:rsidR="005042D1" w:rsidSect="003A6943">
      <w:footerReference w:type="default" r:id="rId5"/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B7" w:rsidRDefault="003B23B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08196C" wp14:editId="38C404D3">
              <wp:simplePos x="0" y="0"/>
              <wp:positionH relativeFrom="page">
                <wp:posOffset>9406255</wp:posOffset>
              </wp:positionH>
              <wp:positionV relativeFrom="page">
                <wp:posOffset>7122795</wp:posOffset>
              </wp:positionV>
              <wp:extent cx="219710" cy="204470"/>
              <wp:effectExtent l="0" t="0" r="381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3B7" w:rsidRDefault="003B23B7">
                          <w:pPr>
                            <w:pStyle w:val="BodyText"/>
                            <w:spacing w:before="20"/>
                            <w:ind w:left="40" w:firstLine="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AAE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19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0.65pt;margin-top:560.85pt;width:17.3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78rAIAAKg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" filled="f" stroked="f">
              <v:textbox inset="0,0,0,0">
                <w:txbxContent>
                  <w:p w:rsidR="003B23B7" w:rsidRDefault="003B23B7">
                    <w:pPr>
                      <w:pStyle w:val="BodyText"/>
                      <w:spacing w:before="20"/>
                      <w:ind w:left="40" w:firstLine="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AAE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3"/>
    <w:rsid w:val="001F38B5"/>
    <w:rsid w:val="003A6943"/>
    <w:rsid w:val="003B23B7"/>
    <w:rsid w:val="003D6C61"/>
    <w:rsid w:val="008871AA"/>
    <w:rsid w:val="008C14E6"/>
    <w:rsid w:val="00B33AAE"/>
    <w:rsid w:val="00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F363"/>
  <w15:chartTrackingRefBased/>
  <w15:docId w15:val="{1B93D741-3DF8-4A1C-B727-A8BB79D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3B7"/>
    <w:pPr>
      <w:widowControl w:val="0"/>
      <w:autoSpaceDE w:val="0"/>
      <w:autoSpaceDN w:val="0"/>
      <w:spacing w:after="0" w:line="240" w:lineRule="auto"/>
      <w:ind w:left="911" w:hanging="360"/>
    </w:pPr>
    <w:rPr>
      <w:rFonts w:ascii="Goudy Old Style" w:eastAsia="Goudy Old Style" w:hAnsi="Goudy Old Style" w:cs="Goudy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23B7"/>
    <w:rPr>
      <w:rFonts w:ascii="Goudy Old Style" w:eastAsia="Goudy Old Style" w:hAnsi="Goudy Old Style" w:cs="Goudy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23B7"/>
    <w:pPr>
      <w:widowControl w:val="0"/>
      <w:autoSpaceDE w:val="0"/>
      <w:autoSpaceDN w:val="0"/>
      <w:spacing w:after="0" w:line="287" w:lineRule="exact"/>
      <w:ind w:left="105"/>
    </w:pPr>
    <w:rPr>
      <w:rFonts w:ascii="Goudy Old Style" w:eastAsia="Goudy Old Style" w:hAnsi="Goudy Old Style" w:cs="Goudy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2018-08-10T19:23:00Z</dcterms:created>
  <dcterms:modified xsi:type="dcterms:W3CDTF">2018-08-10T19:23:00Z</dcterms:modified>
</cp:coreProperties>
</file>